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b/>
          <w:kern w:val="0"/>
          <w:sz w:val="28"/>
          <w:szCs w:val="24"/>
        </w:rPr>
      </w:pPr>
      <w:r>
        <w:rPr>
          <w:rFonts w:ascii="宋体" w:hAnsi="宋体" w:eastAsia="宋体" w:cs="宋体"/>
          <w:b/>
          <w:kern w:val="0"/>
          <w:sz w:val="28"/>
          <w:szCs w:val="24"/>
        </w:rPr>
        <w:t>面上项目试点开展分类申请与分类评审的学科名单</w:t>
      </w:r>
    </w:p>
    <w:tbl>
      <w:tblPr>
        <w:tblStyle w:val="6"/>
        <w:tblW w:w="8550" w:type="dxa"/>
        <w:jc w:val="center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4"/>
        <w:gridCol w:w="1910"/>
        <w:gridCol w:w="4606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一级申请代码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一级申请代码相应的学科名称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数理科学部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A04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物理学I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化学科学部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B01、B02、B03、B04、B05、B06、B07、 B08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合成化学、催化与表界面化学、化学理论与机制、化学测量学、材料化学与能源化学、环境化学、化学生物学、化学工程与工业化学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生命科学部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C07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细胞生物学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地球科学部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D05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大气科学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工程与材料科学部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E01、E06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金属材料、工程热物理与能源利用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信息科学部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F04、F05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半导体科学与信息器件、光学和光电子学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管理科学部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G03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经济科学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tblCellSpacing w:w="0" w:type="dxa"/>
          <w:jc w:val="center"/>
        </w:trPr>
        <w:tc>
          <w:tcPr>
            <w:tcW w:w="2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医学科学部</w:t>
            </w:r>
          </w:p>
        </w:tc>
        <w:tc>
          <w:tcPr>
            <w:tcW w:w="19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H16</w:t>
            </w:r>
          </w:p>
        </w:tc>
        <w:tc>
          <w:tcPr>
            <w:tcW w:w="46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肿瘤学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9CC"/>
    <w:rsid w:val="00052D7E"/>
    <w:rsid w:val="00742B64"/>
    <w:rsid w:val="008009CC"/>
    <w:rsid w:val="00A2091F"/>
    <w:rsid w:val="00AD2167"/>
    <w:rsid w:val="13171771"/>
    <w:rsid w:val="4A57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257</Characters>
  <Lines>2</Lines>
  <Paragraphs>1</Paragraphs>
  <TotalTime>1</TotalTime>
  <ScaleCrop>false</ScaleCrop>
  <LinksUpToDate>false</LinksUpToDate>
  <CharactersWithSpaces>300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2018-12-21T01:46:00Z</dcterms:created>
  <dc:creator>lid100@nenu.edu.cn</dc:creator>
  <cp:lastModifiedBy>lenovo</cp:lastModifiedBy>
  <dcterms:modified xsi:type="dcterms:W3CDTF">2019-01-14T01:48:04Z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